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950A3" w14:textId="77777777" w:rsidR="00C64B1B" w:rsidRPr="00BD2101" w:rsidRDefault="00C64B1B" w:rsidP="00C64B1B">
      <w:pPr>
        <w:jc w:val="center"/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992"/>
        <w:gridCol w:w="3261"/>
        <w:gridCol w:w="3543"/>
        <w:gridCol w:w="1560"/>
        <w:gridCol w:w="2409"/>
        <w:gridCol w:w="2268"/>
      </w:tblGrid>
      <w:tr w:rsidR="00271B76" w:rsidRPr="00BD2101" w14:paraId="2F5918CA" w14:textId="7864F9AD" w:rsidTr="7E4D4EE2">
        <w:tc>
          <w:tcPr>
            <w:tcW w:w="15871" w:type="dxa"/>
            <w:gridSpan w:val="8"/>
            <w:vAlign w:val="center"/>
          </w:tcPr>
          <w:p w14:paraId="54CB6A24" w14:textId="7EAEE655" w:rsidR="00271B76" w:rsidRPr="00BD2101" w:rsidRDefault="00271B76" w:rsidP="0017397C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2101">
              <w:rPr>
                <w:rFonts w:asciiTheme="minorHAnsi" w:hAnsiTheme="minorHAnsi" w:cstheme="minorHAnsi"/>
                <w:b/>
                <w:sz w:val="22"/>
                <w:szCs w:val="22"/>
              </w:rPr>
              <w:t>Nazwa dokumentu:</w:t>
            </w:r>
            <w:r w:rsidRPr="00D135A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projekt rozporządzenia Ministra Zdrowia w sprawie rejestru endoprotezoplastyk (MZ DER 1804)</w:t>
            </w:r>
          </w:p>
        </w:tc>
      </w:tr>
      <w:tr w:rsidR="00271B76" w:rsidRPr="00A06425" w14:paraId="08DE538C" w14:textId="1AB3D081" w:rsidTr="7E4D4EE2">
        <w:tc>
          <w:tcPr>
            <w:tcW w:w="562" w:type="dxa"/>
            <w:shd w:val="clear" w:color="auto" w:fill="E7E6E6" w:themeFill="background2"/>
            <w:vAlign w:val="center"/>
          </w:tcPr>
          <w:p w14:paraId="0818D2BB" w14:textId="77777777" w:rsidR="00271B76" w:rsidRPr="00A06425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3B58FF24" w14:textId="77777777" w:rsidR="00271B76" w:rsidRPr="00A06425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6040CC30" w14:textId="77777777" w:rsidR="00271B76" w:rsidRPr="00A06425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261" w:type="dxa"/>
            <w:shd w:val="clear" w:color="auto" w:fill="E7E6E6" w:themeFill="background2"/>
            <w:vAlign w:val="center"/>
          </w:tcPr>
          <w:p w14:paraId="30E62B8C" w14:textId="77777777" w:rsidR="00271B76" w:rsidRPr="00A06425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543" w:type="dxa"/>
            <w:shd w:val="clear" w:color="auto" w:fill="E7E6E6" w:themeFill="background2"/>
            <w:vAlign w:val="center"/>
          </w:tcPr>
          <w:p w14:paraId="09217919" w14:textId="77777777" w:rsidR="00271B76" w:rsidRPr="00A06425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642F6263" w14:textId="6FC9EEFF" w:rsidR="00271B76" w:rsidRPr="00DC1259" w:rsidRDefault="00271B76" w:rsidP="00271B76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DC1259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Odniesienie </w:t>
            </w:r>
            <w:r w:rsidR="005A0AD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MZ </w:t>
            </w:r>
            <w:r w:rsidRPr="00DC1259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do</w:t>
            </w:r>
            <w:r w:rsidR="005A0AD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poprzedniej</w:t>
            </w:r>
            <w:r w:rsidRPr="00DC1259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uwagi</w:t>
            </w:r>
            <w:r w:rsidR="00DC1259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 xml:space="preserve"> </w:t>
            </w:r>
            <w:r w:rsidR="005A0AD8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RCL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14:paraId="67109531" w14:textId="07F6A8AF" w:rsidR="00271B76" w:rsidRPr="00DC1259" w:rsidRDefault="00271B76" w:rsidP="00271B76">
            <w:pPr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DC1259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Stanowisko RCL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7F52AE24" w14:textId="5C8E3B69" w:rsidR="00271B76" w:rsidRDefault="00271B76" w:rsidP="00271B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Stanowisko MZ</w:t>
            </w:r>
          </w:p>
        </w:tc>
      </w:tr>
      <w:tr w:rsidR="00271B76" w:rsidRPr="00A06425" w14:paraId="5094B466" w14:textId="21EF8DA5" w:rsidTr="7E4D4EE2">
        <w:tc>
          <w:tcPr>
            <w:tcW w:w="562" w:type="dxa"/>
            <w:vAlign w:val="center"/>
          </w:tcPr>
          <w:p w14:paraId="293F20E2" w14:textId="06AE300C" w:rsidR="00271B76" w:rsidRPr="00A06425" w:rsidRDefault="00271B76" w:rsidP="00A06425">
            <w:pPr>
              <w:spacing w:before="120" w:after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  <w:highlight w:val="red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1</w:t>
            </w:r>
            <w:r w:rsidR="00CF2449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5DD45BB" w14:textId="77777777" w:rsidR="00271B76" w:rsidRPr="00A06425" w:rsidRDefault="00271B7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Rządowe Centrum Legislacji</w:t>
            </w:r>
          </w:p>
        </w:tc>
        <w:tc>
          <w:tcPr>
            <w:tcW w:w="992" w:type="dxa"/>
            <w:vAlign w:val="center"/>
          </w:tcPr>
          <w:p w14:paraId="44C909A6" w14:textId="5BC35C26" w:rsidR="00271B76" w:rsidRPr="00A06425" w:rsidRDefault="00271B76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>§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3261" w:type="dxa"/>
          </w:tcPr>
          <w:p w14:paraId="3669F9E8" w14:textId="0E0160D9" w:rsidR="00271B76" w:rsidRPr="00BD2101" w:rsidRDefault="00271B76" w:rsidP="002B50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Zgodnie z § 3 projektu rozporządzenia, podmiotem prowadzącym rejestr miałby być w różnych zakresach Narodowy Fundusz Zdrowia oraz Samodzielny Publiczny Szpital Kliniczny im. prof. Adama Grucy. 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Należy podkreślić, że art. 20 ust. 1 </w:t>
            </w:r>
            <w:r w:rsidRPr="002C6677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z dnia 28 kwietnia 2011 r. o systemie informacji w ochronie zdrowia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 przewiduje możliwości prowadzenia jednego rejestru prze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Pr="002C667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dwa odrębne podmioty o różnym zakresie kompetencji, a wyraźnie wskazuje kompetencje Ministra Zdrowia do określenia „podmiotu prowadzącego rejestr” w liczbie pojedynczej – oznacza to, że powinien istnieć jeden podmiot prowadzący rejestr w całości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r w:rsidRPr="00D135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1AA50CD4" w14:textId="2BE92793" w:rsidR="00271B76" w:rsidRPr="00A06425" w:rsidRDefault="00271B76" w:rsidP="002B50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określić jeden podmiot prowadzący rejestr.</w:t>
            </w:r>
          </w:p>
        </w:tc>
        <w:tc>
          <w:tcPr>
            <w:tcW w:w="1560" w:type="dxa"/>
            <w:shd w:val="clear" w:color="auto" w:fill="FBE4D5" w:themeFill="accent2" w:themeFillTint="33"/>
          </w:tcPr>
          <w:p w14:paraId="55BF79D4" w14:textId="799937F0" w:rsidR="00271B76" w:rsidRPr="002B5078" w:rsidRDefault="00271B76" w:rsidP="26770DCB">
            <w:pPr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002B5078">
              <w:rPr>
                <w:rFonts w:asciiTheme="minorHAnsi" w:hAnsiTheme="minorHAnsi" w:cstheme="minorBidi"/>
                <w:b/>
                <w:bCs/>
                <w:i/>
                <w:iCs/>
                <w:sz w:val="22"/>
                <w:szCs w:val="22"/>
              </w:rPr>
              <w:t>Uwaga nieuwzględniona</w:t>
            </w:r>
            <w:r w:rsidRPr="002B5078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:</w:t>
            </w:r>
          </w:p>
          <w:p w14:paraId="4DF1D1CA" w14:textId="473B5B3A" w:rsidR="00271B76" w:rsidRPr="002B5078" w:rsidRDefault="00271B76" w:rsidP="26770DCB">
            <w:pPr>
              <w:spacing w:line="259" w:lineRule="auto"/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002B5078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Ustawa nie wyklucza wprost wskazania więcej niż jednego podmiotu prowadzącego rejestr medyczny, zwłaszcza przy uwzględnieniu § 144 ust. 2a z rozporządzenia Prezesa Rady Ministrów z dnia 20 czerwca 2002 r. ws. "Zasad techniki prawodawczej” i brzmienia art. 19 ust. 2 </w:t>
            </w:r>
            <w:r w:rsidRPr="002B5078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lastRenderedPageBreak/>
              <w:t xml:space="preserve">ustawy o systemie informacji w ochronie zdrowia. </w:t>
            </w:r>
          </w:p>
          <w:p w14:paraId="48E9E8CC" w14:textId="2B9B6F43" w:rsidR="00271B76" w:rsidRPr="00A06425" w:rsidRDefault="00271B76" w:rsidP="26770DCB">
            <w:pPr>
              <w:spacing w:line="259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2B5078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 tym przypadku uzasadnione jest wskazanie drugiego podmiotu prowadzącego w zakresie prowadzenia analiz jakości implantów oraz udzielanych świadczeń opieki zdrowotnej, w tym powikłań i reimplantacji.</w:t>
            </w:r>
          </w:p>
        </w:tc>
        <w:tc>
          <w:tcPr>
            <w:tcW w:w="2409" w:type="dxa"/>
            <w:shd w:val="clear" w:color="auto" w:fill="FBE4D5" w:themeFill="accent2" w:themeFillTint="33"/>
          </w:tcPr>
          <w:p w14:paraId="0169C6EB" w14:textId="77777777" w:rsidR="00271B76" w:rsidRDefault="00271B76" w:rsidP="00076087">
            <w:pPr>
              <w:rPr>
                <w:rFonts w:asciiTheme="minorHAnsi" w:hAnsiTheme="minorHAnsi" w:cstheme="minorBidi"/>
                <w:sz w:val="22"/>
                <w:szCs w:val="22"/>
                <w:u w:val="single"/>
              </w:rPr>
            </w:pPr>
            <w:r w:rsidRPr="00DA6C93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Art. 20 ust. 1 pkt 2</w:t>
            </w:r>
            <w:r w:rsidRPr="0007608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ustawy z dnia 28 kwietnia 2011 r. o systemie</w:t>
            </w:r>
            <w: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r w:rsidRPr="00076087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informacji w ochronie zdrowia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 upoważnia Ministra </w:t>
            </w:r>
            <w:r w:rsidRPr="00076087">
              <w:rPr>
                <w:rFonts w:asciiTheme="minorHAnsi" w:hAnsiTheme="minorHAnsi" w:cstheme="minorBidi"/>
                <w:sz w:val="22"/>
                <w:szCs w:val="22"/>
                <w:u w:val="single"/>
              </w:rPr>
              <w:t>Zdrowia do wskazania podmiotu</w:t>
            </w:r>
            <w:r>
              <w:rPr>
                <w:rFonts w:asciiTheme="minorHAnsi" w:hAnsiTheme="minorHAnsi" w:cstheme="minorBidi"/>
                <w:sz w:val="22"/>
                <w:szCs w:val="22"/>
                <w:u w:val="single"/>
              </w:rPr>
              <w:t xml:space="preserve"> 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prowadzącego rejestr. Posłużenie się przez ustawodawcę liczbą 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pojedynczą nie ma wyłącznie charakteru redakcyjnego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, lecz odzwierciedla założenie, że za prowadzenie rejestru jako całości </w:t>
            </w:r>
            <w:r w:rsidRPr="00076087">
              <w:rPr>
                <w:rFonts w:asciiTheme="minorHAnsi" w:hAnsiTheme="minorHAnsi" w:cstheme="minorBidi"/>
                <w:sz w:val="22"/>
                <w:szCs w:val="22"/>
                <w:u w:val="single"/>
              </w:rPr>
              <w:t>odpowiada jeden podmiot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>. Rozdzielenie tych kompetencji między dwa odrębne podmioty prowadzi do wykreowania modelu współprowadzenia rejestru, którego ustawa nie przewiduje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i stanowi to </w:t>
            </w:r>
            <w:r w:rsidRPr="00DA6C93">
              <w:rPr>
                <w:rFonts w:asciiTheme="minorHAnsi" w:hAnsiTheme="minorHAnsi" w:cstheme="minorBidi"/>
                <w:sz w:val="22"/>
                <w:szCs w:val="22"/>
                <w:u w:val="single"/>
              </w:rPr>
              <w:t xml:space="preserve">wykroczenie </w:t>
            </w:r>
            <w:r w:rsidRPr="00DA6C93">
              <w:rPr>
                <w:rFonts w:asciiTheme="minorHAnsi" w:hAnsiTheme="minorHAnsi" w:cstheme="minorBidi"/>
                <w:sz w:val="22"/>
                <w:szCs w:val="22"/>
                <w:u w:val="single"/>
              </w:rPr>
              <w:lastRenderedPageBreak/>
              <w:t>poza upoważnienie ustawowe.</w:t>
            </w:r>
          </w:p>
          <w:p w14:paraId="5A835A59" w14:textId="4A839328" w:rsidR="00271B76" w:rsidRPr="00076087" w:rsidRDefault="00271B76" w:rsidP="00076087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Nietrafne jest w tym przypadku przytoczenie przez Wnioskodawcę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treści </w:t>
            </w:r>
            <w:r w:rsidRPr="00076087">
              <w:rPr>
                <w:rFonts w:asciiTheme="minorHAnsi" w:hAnsiTheme="minorHAnsi" w:cstheme="minorBidi"/>
                <w:sz w:val="22"/>
                <w:szCs w:val="22"/>
              </w:rPr>
              <w:t xml:space="preserve">§ 144 ust. 2a ZTP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– przepis ten dotyczy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bowiem 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wskaz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ania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 xml:space="preserve"> adresata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normy – a adresatem normy zawartej w a</w:t>
            </w:r>
            <w:r w:rsidRPr="00DA6C93">
              <w:rPr>
                <w:rFonts w:asciiTheme="minorHAnsi" w:hAnsiTheme="minorHAnsi" w:cstheme="minorBidi"/>
                <w:sz w:val="22"/>
                <w:szCs w:val="22"/>
              </w:rPr>
              <w:t>rt. 20 ust. 1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ustawy (w przepisie upoważniającym do wydania rozporządzenia) jest minister właściwy do spraw zdrowia (przepis art. 20 ust. 1 pkt 2 ustawy określa przedmiot rozporządzenia, a nie adresata normy).</w:t>
            </w:r>
          </w:p>
        </w:tc>
        <w:tc>
          <w:tcPr>
            <w:tcW w:w="2268" w:type="dxa"/>
          </w:tcPr>
          <w:p w14:paraId="5F5F3B28" w14:textId="77777777" w:rsidR="00600980" w:rsidRPr="00600980" w:rsidRDefault="00600980" w:rsidP="00E6243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600980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Uwaga uwzględniona</w:t>
            </w:r>
          </w:p>
          <w:p w14:paraId="7E19C270" w14:textId="636D62A4" w:rsidR="00271B76" w:rsidRPr="00DA6C93" w:rsidRDefault="00600980" w:rsidP="00E62431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600980">
              <w:rPr>
                <w:rFonts w:asciiTheme="minorHAnsi" w:hAnsiTheme="minorHAnsi" w:cstheme="minorBidi"/>
                <w:sz w:val="22"/>
                <w:szCs w:val="22"/>
              </w:rPr>
              <w:t>Wprowadzono zmianę zapisu w projekcie rozporządzenia.</w:t>
            </w:r>
          </w:p>
        </w:tc>
      </w:tr>
      <w:tr w:rsidR="00271B76" w:rsidRPr="00A06425" w14:paraId="192903A5" w14:textId="77777777" w:rsidTr="7E4D4EE2">
        <w:tc>
          <w:tcPr>
            <w:tcW w:w="562" w:type="dxa"/>
            <w:vAlign w:val="center"/>
          </w:tcPr>
          <w:p w14:paraId="626530D0" w14:textId="6375FA06" w:rsidR="00271B76" w:rsidRDefault="00271B76" w:rsidP="00271B76">
            <w:pPr>
              <w:spacing w:before="120" w:after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2</w:t>
            </w:r>
            <w:r w:rsidR="00CF2449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F0E801D" w14:textId="121C09C6" w:rsidR="00271B76" w:rsidRDefault="00271B76" w:rsidP="00271B7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992" w:type="dxa"/>
          </w:tcPr>
          <w:p w14:paraId="4A55CF99" w14:textId="58AF99C4" w:rsidR="00271B76" w:rsidRPr="00D135A1" w:rsidRDefault="00271B76" w:rsidP="00271B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3261" w:type="dxa"/>
          </w:tcPr>
          <w:p w14:paraId="63AACDD1" w14:textId="77777777" w:rsidR="00271B76" w:rsidRDefault="00271B76" w:rsidP="002B50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Ministerstwo Finansów p</w:t>
            </w:r>
            <w:r w:rsidRPr="007938E3">
              <w:rPr>
                <w:rFonts w:asciiTheme="minorHAnsi" w:hAnsiTheme="minorHAnsi" w:cstheme="minorHAnsi"/>
                <w:sz w:val="22"/>
                <w:szCs w:val="22"/>
              </w:rPr>
              <w:t xml:space="preserve">odtrzymuje stanowisko wyrażone na poprzednich etapach opiniowania, zgodnie z którym niezbędne jest uzupełnienie pkt 6 OSR o informację dotyczącą szacunkowych kosztów związanych z dostosowaniem rejestru, celem zapewnienia kompletności oceny skutków regulacji. </w:t>
            </w:r>
          </w:p>
          <w:p w14:paraId="5909EC1C" w14:textId="2AA6AE0F" w:rsidR="00271B76" w:rsidRPr="00D135A1" w:rsidRDefault="00271B76" w:rsidP="002B50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38E3">
              <w:rPr>
                <w:rFonts w:asciiTheme="minorHAnsi" w:hAnsiTheme="minorHAnsi" w:cstheme="minorHAnsi"/>
                <w:sz w:val="22"/>
                <w:szCs w:val="22"/>
              </w:rPr>
              <w:t xml:space="preserve">Ponadto, OSR należy uzupełnić o informacje podane przez </w:t>
            </w:r>
            <w:r w:rsidRPr="007938E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projektodawcę w tabeli uwag, że zwiększone koszty wynikające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938E3">
              <w:rPr>
                <w:rFonts w:asciiTheme="minorHAnsi" w:hAnsiTheme="minorHAnsi" w:cstheme="minorHAnsi"/>
                <w:sz w:val="22"/>
                <w:szCs w:val="22"/>
              </w:rPr>
              <w:t>z dostosowania rejestru mają charakter jednorazowy.</w:t>
            </w:r>
          </w:p>
        </w:tc>
        <w:tc>
          <w:tcPr>
            <w:tcW w:w="3543" w:type="dxa"/>
          </w:tcPr>
          <w:p w14:paraId="6CB3CB9B" w14:textId="577034D6" w:rsidR="00271B76" w:rsidRDefault="00271B76" w:rsidP="002B507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Uzupełnienie OSR we wskazanym zakresie.</w:t>
            </w:r>
          </w:p>
        </w:tc>
        <w:tc>
          <w:tcPr>
            <w:tcW w:w="1560" w:type="dxa"/>
            <w:shd w:val="clear" w:color="auto" w:fill="FBE4D5" w:themeFill="accent2" w:themeFillTint="33"/>
          </w:tcPr>
          <w:p w14:paraId="4896E68E" w14:textId="72AA6C92" w:rsidR="00271B76" w:rsidRPr="26770DCB" w:rsidRDefault="00271B76" w:rsidP="00271B76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BE4D5" w:themeFill="accent2" w:themeFillTint="33"/>
          </w:tcPr>
          <w:p w14:paraId="6017A921" w14:textId="77777777" w:rsidR="00271B76" w:rsidRPr="00DA6C93" w:rsidRDefault="00271B76" w:rsidP="00271B7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C04523" w14:textId="1F97273C" w:rsidR="00271B76" w:rsidRPr="00DA6C93" w:rsidRDefault="00271B76" w:rsidP="00271B7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Uwaga uwzględniona.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005A0AD8">
              <w:rPr>
                <w:rFonts w:asciiTheme="minorHAnsi" w:hAnsiTheme="minorHAnsi" w:cstheme="minorBidi"/>
                <w:sz w:val="22"/>
                <w:szCs w:val="22"/>
              </w:rPr>
              <w:t xml:space="preserve">Wprowadzono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zmiany w OSR.</w:t>
            </w:r>
          </w:p>
        </w:tc>
      </w:tr>
      <w:tr w:rsidR="00DC1259" w:rsidRPr="00A06425" w14:paraId="3382FC23" w14:textId="77777777" w:rsidTr="7E4D4EE2">
        <w:tc>
          <w:tcPr>
            <w:tcW w:w="562" w:type="dxa"/>
            <w:vAlign w:val="center"/>
          </w:tcPr>
          <w:p w14:paraId="3AF2DFB6" w14:textId="5069331A" w:rsidR="00DC1259" w:rsidRDefault="00DC1259" w:rsidP="00DC1259">
            <w:pPr>
              <w:spacing w:before="120" w:after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76" w:type="dxa"/>
          </w:tcPr>
          <w:p w14:paraId="127D2FC6" w14:textId="269220E7" w:rsidR="00DC1259" w:rsidRPr="0077406D" w:rsidRDefault="00DC1259" w:rsidP="00DC12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992" w:type="dxa"/>
          </w:tcPr>
          <w:p w14:paraId="679E6C8F" w14:textId="0583B8EF" w:rsidR="00DC1259" w:rsidRDefault="00DC1259" w:rsidP="00DC12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§ 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§ 5</w:t>
            </w:r>
          </w:p>
        </w:tc>
        <w:tc>
          <w:tcPr>
            <w:tcW w:w="3261" w:type="dxa"/>
          </w:tcPr>
          <w:p w14:paraId="43B79B8A" w14:textId="7C507694" w:rsidR="00DC1259" w:rsidRDefault="00DC1259" w:rsidP="00F865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§ 2 rozporządzenia wynika, że rejestr jest prowadzony przez Narodowy</w:t>
            </w:r>
            <w:r w:rsidR="00F865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Fundusz Zdrowia. Ponadto zgodnie z § 5 rozporządzenia „administratorem danych 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systemie, o którym mowa w § 3, jest Narodowy Fundusz Zdrowia”.</w:t>
            </w:r>
          </w:p>
        </w:tc>
        <w:tc>
          <w:tcPr>
            <w:tcW w:w="3543" w:type="dxa"/>
            <w:vAlign w:val="center"/>
          </w:tcPr>
          <w:p w14:paraId="2884C0C6" w14:textId="001DE90E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Instytucję administratora (danych osobowych) należy rozumieć w sposób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funkcjonalny, a nie wyłącznie formalny. Tym samym,</w:t>
            </w:r>
            <w: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- samo wskazanie, że Narodowy Fundusz Zdrowia jest „administratorem danych w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systemie” jest niewystarczające, niejednoznaczne w kontekście przepisów rozporządzenia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2016/679 i nie wprowadza żadnej treści normatywnej,</w:t>
            </w:r>
          </w:p>
          <w:p w14:paraId="07E42CD2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- konieczne jest wskazanie wszystkich celów i sposobów/ procesów przetwarzania</w:t>
            </w:r>
          </w:p>
          <w:p w14:paraId="5798334D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związanych z realizacją kompetencji (w tej materii należy kierować się wymogami z art. 6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ust. 3 rozporządzenia 2016/679).</w:t>
            </w:r>
          </w:p>
          <w:p w14:paraId="04F507F6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Przetwarzanie danych osobowych w systemach teleinformatycznych powinno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wiązać się z precyzyjnie i odpowiednio do działań realnie podejmowanych określonym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statusem podmiotów odpowiedzianych za to przetwarzanie.</w:t>
            </w:r>
          </w:p>
          <w:p w14:paraId="473F2CED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W tym zakresie pomocne są Wytyczne EROD 07/2020 dotyczące pojęć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administratora i podmiotu przetwarzającego zawartych w RODO. Powinny być także</w:t>
            </w:r>
          </w:p>
          <w:p w14:paraId="5DAB61A7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precyzyjnie określone powinny być w przepisach zadania, prawa i obowiązki związane z</w:t>
            </w:r>
          </w:p>
          <w:p w14:paraId="12CE308B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przetwarzaniem danych osobowych – przypisanie odpowiedzialności, tak, aby można było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dokonać analizy co do przetwarzania przez administratora.</w:t>
            </w:r>
          </w:p>
          <w:p w14:paraId="0B28F50E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Zadania i cele przetwarzania danych przez NFZ powinny być:</w:t>
            </w:r>
          </w:p>
          <w:p w14:paraId="6B1EF2A4" w14:textId="669BB19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- rozpisane precyzyjniej w przepisach prawa – stosownie do treści zasady zgodności z</w:t>
            </w:r>
            <w:r w:rsidR="00C5026E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prawem, rzetelności i przejrzystości – poprzez wskazanie</w:t>
            </w:r>
          </w:p>
          <w:p w14:paraId="1D4F638F" w14:textId="77777777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- sposobu realizacji obowiązków wynikających z rozporządzenia 2016/679 w związku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z administrowaniem danymi przez ten podmiot w kontekście bezpieczeństwa operacji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wykonywanych na danych osobowych (usuwanie danych, przetwarzane w sposób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zapewniający odpowiednie bezpieczeństwo danych osobowych, w tym ochronę przed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niedozwolonym lub niezgodnym z prawem przetwarzaniem oraz przypadkową utratą,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zniszczeniem lub szkodzeniem, za pomocą odpowiednich środków technicznych lub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organizacyjnych) oraz</w:t>
            </w:r>
          </w:p>
          <w:p w14:paraId="75D6E50E" w14:textId="09AB20AC" w:rsidR="00DC1259" w:rsidRDefault="00DC1259" w:rsidP="00DC1259">
            <w:pPr>
              <w:rPr>
                <w:rFonts w:ascii="Calibri" w:hAnsi="Calibri" w:cs="Calibr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- sposobu realizacji praw osób, których dane dotyczą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FBE4D5" w:themeFill="accent2" w:themeFillTint="33"/>
            <w:vAlign w:val="center"/>
          </w:tcPr>
          <w:p w14:paraId="501E47D1" w14:textId="1EC12D9A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BE4D5" w:themeFill="accent2" w:themeFillTint="33"/>
          </w:tcPr>
          <w:p w14:paraId="34B5EEF9" w14:textId="77777777" w:rsidR="00DC1259" w:rsidRPr="00DA6C93" w:rsidRDefault="00DC1259" w:rsidP="00DC1259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5C803E" w14:textId="77777777" w:rsidR="00DC1259" w:rsidRDefault="00C63C0A" w:rsidP="00A74BDC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2D105F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Uwaga </w:t>
            </w:r>
            <w:r w:rsidR="00BB2968" w:rsidRPr="00CF2449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uwzględniona</w:t>
            </w:r>
          </w:p>
          <w:p w14:paraId="02077109" w14:textId="72881ED6" w:rsidR="00B05824" w:rsidRDefault="00B05824" w:rsidP="00A74BDC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600980">
              <w:rPr>
                <w:rFonts w:asciiTheme="minorHAnsi" w:hAnsiTheme="minorHAnsi" w:cstheme="minorBidi"/>
                <w:sz w:val="22"/>
                <w:szCs w:val="22"/>
              </w:rPr>
              <w:t>Wprowadzono zmianę zapisu w projekcie rozporządzenia.</w:t>
            </w:r>
          </w:p>
          <w:p w14:paraId="429D9C53" w14:textId="661A209E" w:rsidR="00BB2968" w:rsidRPr="008C0B57" w:rsidRDefault="00BB2968" w:rsidP="00A74BDC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</w:tr>
      <w:tr w:rsidR="00DC1259" w:rsidRPr="00A06425" w14:paraId="647780F4" w14:textId="77777777" w:rsidTr="7E4D4EE2">
        <w:tc>
          <w:tcPr>
            <w:tcW w:w="562" w:type="dxa"/>
            <w:vAlign w:val="center"/>
          </w:tcPr>
          <w:p w14:paraId="7B78850A" w14:textId="471D6C50" w:rsidR="00DC1259" w:rsidRDefault="00DC1259" w:rsidP="00DC1259">
            <w:pPr>
              <w:spacing w:before="120" w:after="120"/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5994BE54" w14:textId="3DC7322A" w:rsidR="00DC1259" w:rsidRPr="0077406D" w:rsidRDefault="00DC1259" w:rsidP="00DC125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992" w:type="dxa"/>
          </w:tcPr>
          <w:p w14:paraId="3A56735C" w14:textId="7EE4711E" w:rsidR="00DC1259" w:rsidRDefault="00DC1259" w:rsidP="00DC12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§ 9</w:t>
            </w:r>
          </w:p>
        </w:tc>
        <w:tc>
          <w:tcPr>
            <w:tcW w:w="3261" w:type="dxa"/>
          </w:tcPr>
          <w:p w14:paraId="219457E8" w14:textId="03A2FCFA" w:rsidR="00DC1259" w:rsidRDefault="00DC1259" w:rsidP="00DC125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Projektodawca uwzględnił uwagi Prezesa Urzędu Ochrony Danych Osobowych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 xml:space="preserve">odnośnie doprecyzowania § 9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rozporządzenia. Zgodnie z aktualnym brzmieniem § 9 „po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otrzymaniu informacji o zgonie usługobiorcy, podmiot prowadzący rejestr niezwłocznie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HAnsi"/>
                <w:sz w:val="22"/>
                <w:szCs w:val="22"/>
              </w:rPr>
              <w:t>usuwa z rejestru dane, o których mowa w § 7 pkt. 1 lit. a, e, f, g”.</w:t>
            </w:r>
          </w:p>
        </w:tc>
        <w:tc>
          <w:tcPr>
            <w:tcW w:w="3543" w:type="dxa"/>
          </w:tcPr>
          <w:p w14:paraId="7AC7B36D" w14:textId="252334CC" w:rsidR="00DC125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F2449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Odnosząc się do zakresu dokonania anonimizacji danych osobowych wątpliwości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 xml:space="preserve">budzi konieczność dalszego przetwarzania w rejestrze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danych, o których mowa w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pkt b, c, d rozporządzenia tj. danych dotyczących nr PESEL, a w przypadku jego braku: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serii i numeru paszportu albo innego dokumentu stwierdzającego tożsamość albo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niepowtarzalny identyfikator nadany przez państwo członkowskie Unii Europejskiej dla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CF2449">
              <w:rPr>
                <w:rFonts w:asciiTheme="minorHAnsi" w:hAnsiTheme="minorHAnsi" w:cstheme="minorBidi"/>
                <w:sz w:val="22"/>
                <w:szCs w:val="22"/>
              </w:rPr>
              <w:t>celów transgranicznej identyfikacji (pkt b), płci, (pkt c) oraz daty urodzenia (pkt d).</w:t>
            </w:r>
          </w:p>
          <w:p w14:paraId="5A3B5408" w14:textId="77777777" w:rsidR="00DC1259" w:rsidRPr="00A51EEA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Zastrzeżenia budzi więc:</w:t>
            </w:r>
          </w:p>
          <w:p w14:paraId="3113A56D" w14:textId="77777777" w:rsidR="00DC1259" w:rsidRPr="00A51EEA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- dalsze przetwarzanie danych w postaci nr PESEL, który aktualnie może prowadzić do</w:t>
            </w:r>
          </w:p>
          <w:p w14:paraId="59BE1D5D" w14:textId="77777777" w:rsidR="00DC1259" w:rsidRPr="00A51EEA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identyfikacji osoby fizycznej,</w:t>
            </w:r>
          </w:p>
          <w:p w14:paraId="52FD1DB2" w14:textId="6D795FA9" w:rsidR="00DC1259" w:rsidRDefault="00DC1259" w:rsidP="00DC1259">
            <w:pPr>
              <w:rPr>
                <w:rFonts w:ascii="Calibri" w:hAnsi="Calibri" w:cs="Calibri"/>
                <w:sz w:val="22"/>
                <w:szCs w:val="22"/>
              </w:rPr>
            </w:pP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- proces anonimizacji danych ma bowiem prowadzić do usunięcia danych osobowych w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taki sposób, aby dana informacja nie mogła być uznana za daną osobową tj. należy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rozważyć czy dana osobowa dotyczyć będzie zidentyfikowanej lub możliwej do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zidentyfikowania osoby fizycznej, jeżeli ze względu na swą treść, cel czy skutek informacja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ta jest powiązana z możliwą do zidentyfikowania osobą.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W związku z powyższym, należy rozważyć, doprecyzowanie § 9 rozporządzenia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poprzez rozszerzenie zakresu dokonania anonimizacji danych o wskazanie w tym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00A51EEA">
              <w:rPr>
                <w:rFonts w:asciiTheme="minorHAnsi" w:hAnsiTheme="minorHAnsi" w:cstheme="minorBidi"/>
                <w:sz w:val="22"/>
                <w:szCs w:val="22"/>
              </w:rPr>
              <w:t>przepisie § 7 pkt b, c, d rozporządzenia.</w:t>
            </w:r>
          </w:p>
        </w:tc>
        <w:tc>
          <w:tcPr>
            <w:tcW w:w="1560" w:type="dxa"/>
            <w:shd w:val="clear" w:color="auto" w:fill="FBE4D5" w:themeFill="accent2" w:themeFillTint="33"/>
          </w:tcPr>
          <w:p w14:paraId="53691B44" w14:textId="73FF4189" w:rsidR="00DC1259" w:rsidRPr="00CF2449" w:rsidRDefault="00DC1259" w:rsidP="00DC1259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BE4D5" w:themeFill="accent2" w:themeFillTint="33"/>
          </w:tcPr>
          <w:p w14:paraId="0247E53C" w14:textId="77777777" w:rsidR="00DC1259" w:rsidRPr="00DA6C93" w:rsidRDefault="00DC1259" w:rsidP="00DC1259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FCC12A5" w14:textId="191EF8F1" w:rsidR="00DC1259" w:rsidRPr="002A0E5A" w:rsidRDefault="0053561F" w:rsidP="00DC1259">
            <w:pPr>
              <w:jc w:val="center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2A0E5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Uw</w:t>
            </w:r>
            <w:r w:rsidR="002A0E5A" w:rsidRPr="002A0E5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a</w:t>
            </w:r>
            <w:r w:rsidRPr="002A0E5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ga częściowo uwzgl</w:t>
            </w:r>
            <w:r w:rsidR="002A0E5A" w:rsidRPr="002A0E5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ędniona</w:t>
            </w:r>
          </w:p>
          <w:p w14:paraId="1B31E6FF" w14:textId="25341B31" w:rsidR="00CC42BC" w:rsidRPr="002A0E5A" w:rsidRDefault="005A0AD8" w:rsidP="005A0AD8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600980">
              <w:rPr>
                <w:rFonts w:asciiTheme="minorHAnsi" w:hAnsiTheme="minorHAnsi" w:cstheme="minorBidi"/>
                <w:sz w:val="22"/>
                <w:szCs w:val="22"/>
              </w:rPr>
              <w:t xml:space="preserve">Wprowadzono zmianę zapisu w projekcie </w:t>
            </w:r>
            <w:r w:rsidRPr="00600980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rozporządzenia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, natomiast d</w:t>
            </w:r>
            <w:r w:rsidR="00CC42BC" w:rsidRPr="002A0E5A">
              <w:rPr>
                <w:rFonts w:asciiTheme="minorHAnsi" w:hAnsiTheme="minorHAnsi" w:cstheme="minorBidi"/>
                <w:sz w:val="22"/>
                <w:szCs w:val="22"/>
              </w:rPr>
              <w:t xml:space="preserve">ane dot. </w:t>
            </w:r>
            <w:r w:rsidR="00BC7903" w:rsidRPr="00BC7903">
              <w:rPr>
                <w:rFonts w:asciiTheme="minorHAnsi" w:hAnsiTheme="minorHAnsi" w:cstheme="minorBidi"/>
                <w:sz w:val="22"/>
                <w:szCs w:val="22"/>
              </w:rPr>
              <w:t>dat</w:t>
            </w:r>
            <w:r w:rsidR="00BC7903">
              <w:rPr>
                <w:rFonts w:asciiTheme="minorHAnsi" w:hAnsiTheme="minorHAnsi" w:cstheme="minorBidi"/>
                <w:sz w:val="22"/>
                <w:szCs w:val="22"/>
              </w:rPr>
              <w:t>y</w:t>
            </w:r>
            <w:r w:rsidR="00BC7903" w:rsidRPr="00BC7903">
              <w:rPr>
                <w:rFonts w:asciiTheme="minorHAnsi" w:hAnsiTheme="minorHAnsi" w:cstheme="minorBidi"/>
                <w:sz w:val="22"/>
                <w:szCs w:val="22"/>
              </w:rPr>
              <w:t xml:space="preserve"> urodzenia</w:t>
            </w:r>
            <w:r w:rsidR="00CC42BC" w:rsidRPr="002A0E5A">
              <w:rPr>
                <w:rFonts w:asciiTheme="minorHAnsi" w:hAnsiTheme="minorHAnsi" w:cstheme="minorBidi"/>
                <w:sz w:val="22"/>
                <w:szCs w:val="22"/>
              </w:rPr>
              <w:t xml:space="preserve"> i płci są niezbędne do realizacji zadań analitycznych.</w:t>
            </w:r>
          </w:p>
        </w:tc>
      </w:tr>
    </w:tbl>
    <w:p w14:paraId="103A0549" w14:textId="77777777" w:rsidR="00C64B1B" w:rsidRDefault="00C64B1B" w:rsidP="00DE757C"/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B3DC" w14:textId="77777777" w:rsidR="00F35FCC" w:rsidRDefault="00F35FCC" w:rsidP="0053561F">
      <w:r>
        <w:separator/>
      </w:r>
    </w:p>
  </w:endnote>
  <w:endnote w:type="continuationSeparator" w:id="0">
    <w:p w14:paraId="65B24DA2" w14:textId="77777777" w:rsidR="00F35FCC" w:rsidRDefault="00F35FCC" w:rsidP="0053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7A0C" w14:textId="77777777" w:rsidR="00F35FCC" w:rsidRDefault="00F35FCC" w:rsidP="0053561F">
      <w:r>
        <w:separator/>
      </w:r>
    </w:p>
  </w:footnote>
  <w:footnote w:type="continuationSeparator" w:id="0">
    <w:p w14:paraId="038CDDFB" w14:textId="77777777" w:rsidR="00F35FCC" w:rsidRDefault="00F35FCC" w:rsidP="005356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2D01"/>
    <w:rsid w:val="00004B94"/>
    <w:rsid w:val="00014DCB"/>
    <w:rsid w:val="00034258"/>
    <w:rsid w:val="000374B9"/>
    <w:rsid w:val="00076087"/>
    <w:rsid w:val="00077285"/>
    <w:rsid w:val="000C7F5C"/>
    <w:rsid w:val="000D0CF2"/>
    <w:rsid w:val="000E163B"/>
    <w:rsid w:val="000E5DE0"/>
    <w:rsid w:val="000F31F3"/>
    <w:rsid w:val="001053DF"/>
    <w:rsid w:val="00106B53"/>
    <w:rsid w:val="00114506"/>
    <w:rsid w:val="00115AE9"/>
    <w:rsid w:val="001251E5"/>
    <w:rsid w:val="00140BE8"/>
    <w:rsid w:val="00167F64"/>
    <w:rsid w:val="0017397C"/>
    <w:rsid w:val="0019648E"/>
    <w:rsid w:val="001B7A3D"/>
    <w:rsid w:val="001D28CE"/>
    <w:rsid w:val="001D48A0"/>
    <w:rsid w:val="001F5209"/>
    <w:rsid w:val="002053D6"/>
    <w:rsid w:val="00225022"/>
    <w:rsid w:val="0023133D"/>
    <w:rsid w:val="002449A8"/>
    <w:rsid w:val="0025593E"/>
    <w:rsid w:val="002627DD"/>
    <w:rsid w:val="002715B2"/>
    <w:rsid w:val="00271B76"/>
    <w:rsid w:val="0027284C"/>
    <w:rsid w:val="00276CBC"/>
    <w:rsid w:val="00285513"/>
    <w:rsid w:val="00293E62"/>
    <w:rsid w:val="002A0E5A"/>
    <w:rsid w:val="002B5078"/>
    <w:rsid w:val="002C6677"/>
    <w:rsid w:val="002D0698"/>
    <w:rsid w:val="002D105F"/>
    <w:rsid w:val="002E15CE"/>
    <w:rsid w:val="002E2609"/>
    <w:rsid w:val="002E4D0C"/>
    <w:rsid w:val="00304D6A"/>
    <w:rsid w:val="003124D1"/>
    <w:rsid w:val="003135AD"/>
    <w:rsid w:val="00314B62"/>
    <w:rsid w:val="00341ECE"/>
    <w:rsid w:val="00362AAC"/>
    <w:rsid w:val="0037237D"/>
    <w:rsid w:val="00382338"/>
    <w:rsid w:val="00384B85"/>
    <w:rsid w:val="00387F91"/>
    <w:rsid w:val="003B055E"/>
    <w:rsid w:val="003B0F4A"/>
    <w:rsid w:val="003B4105"/>
    <w:rsid w:val="003C330C"/>
    <w:rsid w:val="003D2CD5"/>
    <w:rsid w:val="003D58CD"/>
    <w:rsid w:val="003F45BD"/>
    <w:rsid w:val="0041180B"/>
    <w:rsid w:val="0041188B"/>
    <w:rsid w:val="00420C1D"/>
    <w:rsid w:val="00426DBB"/>
    <w:rsid w:val="00435E5E"/>
    <w:rsid w:val="004409FE"/>
    <w:rsid w:val="0044192C"/>
    <w:rsid w:val="00443200"/>
    <w:rsid w:val="00463078"/>
    <w:rsid w:val="00463E03"/>
    <w:rsid w:val="004733C8"/>
    <w:rsid w:val="00484B77"/>
    <w:rsid w:val="004A35B7"/>
    <w:rsid w:val="004B2C50"/>
    <w:rsid w:val="004B4D7D"/>
    <w:rsid w:val="004B68D7"/>
    <w:rsid w:val="004C0D7E"/>
    <w:rsid w:val="004C2ABC"/>
    <w:rsid w:val="004D086F"/>
    <w:rsid w:val="004D25B6"/>
    <w:rsid w:val="004D4BBE"/>
    <w:rsid w:val="004D6756"/>
    <w:rsid w:val="004E6803"/>
    <w:rsid w:val="004F1F55"/>
    <w:rsid w:val="004F3D8B"/>
    <w:rsid w:val="004F6537"/>
    <w:rsid w:val="0051435F"/>
    <w:rsid w:val="00534633"/>
    <w:rsid w:val="0053561F"/>
    <w:rsid w:val="0053777A"/>
    <w:rsid w:val="005462F1"/>
    <w:rsid w:val="00570079"/>
    <w:rsid w:val="00570668"/>
    <w:rsid w:val="0059710E"/>
    <w:rsid w:val="005A0AD8"/>
    <w:rsid w:val="005A5120"/>
    <w:rsid w:val="005C7153"/>
    <w:rsid w:val="005D6CAE"/>
    <w:rsid w:val="005E6BFA"/>
    <w:rsid w:val="005F1BE7"/>
    <w:rsid w:val="005F1CBB"/>
    <w:rsid w:val="005F6527"/>
    <w:rsid w:val="00600980"/>
    <w:rsid w:val="00614361"/>
    <w:rsid w:val="006174B7"/>
    <w:rsid w:val="00617605"/>
    <w:rsid w:val="00632DF1"/>
    <w:rsid w:val="006705EC"/>
    <w:rsid w:val="00671C56"/>
    <w:rsid w:val="00681DC8"/>
    <w:rsid w:val="0068413B"/>
    <w:rsid w:val="006908D7"/>
    <w:rsid w:val="0069181C"/>
    <w:rsid w:val="006A5FD2"/>
    <w:rsid w:val="006B7376"/>
    <w:rsid w:val="006C38B0"/>
    <w:rsid w:val="006D2DF6"/>
    <w:rsid w:val="006D4177"/>
    <w:rsid w:val="006E16E9"/>
    <w:rsid w:val="00702725"/>
    <w:rsid w:val="007106CF"/>
    <w:rsid w:val="0072683C"/>
    <w:rsid w:val="0073349B"/>
    <w:rsid w:val="00773D9D"/>
    <w:rsid w:val="00780597"/>
    <w:rsid w:val="00783D76"/>
    <w:rsid w:val="007A45A5"/>
    <w:rsid w:val="007A7AD9"/>
    <w:rsid w:val="007C0569"/>
    <w:rsid w:val="007C1594"/>
    <w:rsid w:val="007C5B85"/>
    <w:rsid w:val="007D5A1B"/>
    <w:rsid w:val="007E4ABE"/>
    <w:rsid w:val="007E58F9"/>
    <w:rsid w:val="007F2679"/>
    <w:rsid w:val="007F26E6"/>
    <w:rsid w:val="00802B51"/>
    <w:rsid w:val="00802FD3"/>
    <w:rsid w:val="0080486F"/>
    <w:rsid w:val="00807385"/>
    <w:rsid w:val="00822788"/>
    <w:rsid w:val="00837047"/>
    <w:rsid w:val="00876B03"/>
    <w:rsid w:val="0089505C"/>
    <w:rsid w:val="008975D9"/>
    <w:rsid w:val="008A0FAE"/>
    <w:rsid w:val="008B1E21"/>
    <w:rsid w:val="008C0B57"/>
    <w:rsid w:val="008C183F"/>
    <w:rsid w:val="008E2983"/>
    <w:rsid w:val="00911BB2"/>
    <w:rsid w:val="0092687A"/>
    <w:rsid w:val="00940859"/>
    <w:rsid w:val="00942E3A"/>
    <w:rsid w:val="00944932"/>
    <w:rsid w:val="0095130B"/>
    <w:rsid w:val="00972909"/>
    <w:rsid w:val="009838AB"/>
    <w:rsid w:val="009914A5"/>
    <w:rsid w:val="009A5A58"/>
    <w:rsid w:val="009B46B2"/>
    <w:rsid w:val="009C410B"/>
    <w:rsid w:val="009C7DCB"/>
    <w:rsid w:val="009E0AF4"/>
    <w:rsid w:val="009E5FDB"/>
    <w:rsid w:val="009E6873"/>
    <w:rsid w:val="009F464F"/>
    <w:rsid w:val="009F7482"/>
    <w:rsid w:val="00A02952"/>
    <w:rsid w:val="00A06425"/>
    <w:rsid w:val="00A07867"/>
    <w:rsid w:val="00A15413"/>
    <w:rsid w:val="00A15B72"/>
    <w:rsid w:val="00A33DD7"/>
    <w:rsid w:val="00A4005B"/>
    <w:rsid w:val="00A51EEA"/>
    <w:rsid w:val="00A60783"/>
    <w:rsid w:val="00A641CE"/>
    <w:rsid w:val="00A71360"/>
    <w:rsid w:val="00A74BDC"/>
    <w:rsid w:val="00A74D2C"/>
    <w:rsid w:val="00AA1F60"/>
    <w:rsid w:val="00AB132F"/>
    <w:rsid w:val="00AB1464"/>
    <w:rsid w:val="00AC0C2A"/>
    <w:rsid w:val="00AC7796"/>
    <w:rsid w:val="00AD1233"/>
    <w:rsid w:val="00AD7D72"/>
    <w:rsid w:val="00AE18E0"/>
    <w:rsid w:val="00B03157"/>
    <w:rsid w:val="00B05824"/>
    <w:rsid w:val="00B215B5"/>
    <w:rsid w:val="00B27DC1"/>
    <w:rsid w:val="00B35EC1"/>
    <w:rsid w:val="00B35FE9"/>
    <w:rsid w:val="00B36612"/>
    <w:rsid w:val="00B50454"/>
    <w:rsid w:val="00B670E6"/>
    <w:rsid w:val="00B75FDF"/>
    <w:rsid w:val="00B76B84"/>
    <w:rsid w:val="00B871B6"/>
    <w:rsid w:val="00B90092"/>
    <w:rsid w:val="00B930D0"/>
    <w:rsid w:val="00B96226"/>
    <w:rsid w:val="00B963C6"/>
    <w:rsid w:val="00BB2968"/>
    <w:rsid w:val="00BB57D7"/>
    <w:rsid w:val="00BC20D6"/>
    <w:rsid w:val="00BC7903"/>
    <w:rsid w:val="00BD2101"/>
    <w:rsid w:val="00BD6A86"/>
    <w:rsid w:val="00BE18A4"/>
    <w:rsid w:val="00C0318D"/>
    <w:rsid w:val="00C05EE9"/>
    <w:rsid w:val="00C1027B"/>
    <w:rsid w:val="00C1525D"/>
    <w:rsid w:val="00C15F50"/>
    <w:rsid w:val="00C22498"/>
    <w:rsid w:val="00C40AAA"/>
    <w:rsid w:val="00C446C4"/>
    <w:rsid w:val="00C5026E"/>
    <w:rsid w:val="00C52E97"/>
    <w:rsid w:val="00C635C3"/>
    <w:rsid w:val="00C63C0A"/>
    <w:rsid w:val="00C6481C"/>
    <w:rsid w:val="00C64B1B"/>
    <w:rsid w:val="00C71341"/>
    <w:rsid w:val="00C87D2B"/>
    <w:rsid w:val="00C93342"/>
    <w:rsid w:val="00CA4AE3"/>
    <w:rsid w:val="00CC42BC"/>
    <w:rsid w:val="00CC6779"/>
    <w:rsid w:val="00CD5EB0"/>
    <w:rsid w:val="00CE0E95"/>
    <w:rsid w:val="00CF0C47"/>
    <w:rsid w:val="00CF2449"/>
    <w:rsid w:val="00CF4725"/>
    <w:rsid w:val="00CF77D0"/>
    <w:rsid w:val="00D135A1"/>
    <w:rsid w:val="00D3273C"/>
    <w:rsid w:val="00D32D6F"/>
    <w:rsid w:val="00D34608"/>
    <w:rsid w:val="00D40A2B"/>
    <w:rsid w:val="00D41343"/>
    <w:rsid w:val="00D456B9"/>
    <w:rsid w:val="00D54D6B"/>
    <w:rsid w:val="00D62054"/>
    <w:rsid w:val="00D64623"/>
    <w:rsid w:val="00D86717"/>
    <w:rsid w:val="00D96256"/>
    <w:rsid w:val="00DA6C93"/>
    <w:rsid w:val="00DB1C75"/>
    <w:rsid w:val="00DB269D"/>
    <w:rsid w:val="00DC1259"/>
    <w:rsid w:val="00DC570C"/>
    <w:rsid w:val="00DC6979"/>
    <w:rsid w:val="00DE43C2"/>
    <w:rsid w:val="00DE757C"/>
    <w:rsid w:val="00DF2AA5"/>
    <w:rsid w:val="00E06F76"/>
    <w:rsid w:val="00E14C33"/>
    <w:rsid w:val="00E41D47"/>
    <w:rsid w:val="00E46EB9"/>
    <w:rsid w:val="00E544C5"/>
    <w:rsid w:val="00E55BD9"/>
    <w:rsid w:val="00E566BA"/>
    <w:rsid w:val="00E62431"/>
    <w:rsid w:val="00E67D1C"/>
    <w:rsid w:val="00E84351"/>
    <w:rsid w:val="00EA21E0"/>
    <w:rsid w:val="00EB038F"/>
    <w:rsid w:val="00EB71ED"/>
    <w:rsid w:val="00EC1D83"/>
    <w:rsid w:val="00ED4EFD"/>
    <w:rsid w:val="00EF2412"/>
    <w:rsid w:val="00F17EDE"/>
    <w:rsid w:val="00F35FCC"/>
    <w:rsid w:val="00F46C3D"/>
    <w:rsid w:val="00F542E8"/>
    <w:rsid w:val="00F80A84"/>
    <w:rsid w:val="00F843C1"/>
    <w:rsid w:val="00F86593"/>
    <w:rsid w:val="00F93CF2"/>
    <w:rsid w:val="00F95597"/>
    <w:rsid w:val="00FB5F28"/>
    <w:rsid w:val="00FC6A85"/>
    <w:rsid w:val="01FF5483"/>
    <w:rsid w:val="022C67D8"/>
    <w:rsid w:val="028E36F5"/>
    <w:rsid w:val="02E7931F"/>
    <w:rsid w:val="02EF81B1"/>
    <w:rsid w:val="02F653BC"/>
    <w:rsid w:val="040F8526"/>
    <w:rsid w:val="042FF762"/>
    <w:rsid w:val="04AE2AF6"/>
    <w:rsid w:val="04BCF92C"/>
    <w:rsid w:val="04E808BC"/>
    <w:rsid w:val="05A1A7DF"/>
    <w:rsid w:val="05CDBCC8"/>
    <w:rsid w:val="0659A6C5"/>
    <w:rsid w:val="075B0C5C"/>
    <w:rsid w:val="07657EFE"/>
    <w:rsid w:val="076B54FD"/>
    <w:rsid w:val="0771977B"/>
    <w:rsid w:val="07944B3C"/>
    <w:rsid w:val="07C3EE6B"/>
    <w:rsid w:val="086F8F03"/>
    <w:rsid w:val="088D488A"/>
    <w:rsid w:val="08F36A12"/>
    <w:rsid w:val="096301E1"/>
    <w:rsid w:val="09C5ED8B"/>
    <w:rsid w:val="0A943F5D"/>
    <w:rsid w:val="0A963375"/>
    <w:rsid w:val="0A9F837D"/>
    <w:rsid w:val="0B87E18E"/>
    <w:rsid w:val="0BBF1914"/>
    <w:rsid w:val="0BDB4F2D"/>
    <w:rsid w:val="0C68CFC2"/>
    <w:rsid w:val="0CC14A8A"/>
    <w:rsid w:val="0D4A0A03"/>
    <w:rsid w:val="0D8D5E2D"/>
    <w:rsid w:val="0DD5D8AE"/>
    <w:rsid w:val="0EA0C943"/>
    <w:rsid w:val="0EB5ACC4"/>
    <w:rsid w:val="0F089668"/>
    <w:rsid w:val="0F7426A5"/>
    <w:rsid w:val="0FBF1C1F"/>
    <w:rsid w:val="102264C8"/>
    <w:rsid w:val="10BBBBB8"/>
    <w:rsid w:val="1121E1FC"/>
    <w:rsid w:val="117D3B37"/>
    <w:rsid w:val="11ECF02A"/>
    <w:rsid w:val="11F220A1"/>
    <w:rsid w:val="12CCB99D"/>
    <w:rsid w:val="13136137"/>
    <w:rsid w:val="1342756B"/>
    <w:rsid w:val="134DE6A8"/>
    <w:rsid w:val="13D677EC"/>
    <w:rsid w:val="1452C04E"/>
    <w:rsid w:val="155D5002"/>
    <w:rsid w:val="157C1F8A"/>
    <w:rsid w:val="158EA03B"/>
    <w:rsid w:val="15E32BC7"/>
    <w:rsid w:val="16018783"/>
    <w:rsid w:val="167F79C4"/>
    <w:rsid w:val="171E90EE"/>
    <w:rsid w:val="1723DFCD"/>
    <w:rsid w:val="17D0EAC2"/>
    <w:rsid w:val="17D59304"/>
    <w:rsid w:val="17F67C8F"/>
    <w:rsid w:val="181325FE"/>
    <w:rsid w:val="189E5CE9"/>
    <w:rsid w:val="1921C4A9"/>
    <w:rsid w:val="1997E326"/>
    <w:rsid w:val="19B5105A"/>
    <w:rsid w:val="1A6195B4"/>
    <w:rsid w:val="1B19BF8F"/>
    <w:rsid w:val="1C29A6FA"/>
    <w:rsid w:val="1CC47EBB"/>
    <w:rsid w:val="1CF572C3"/>
    <w:rsid w:val="1D1658A6"/>
    <w:rsid w:val="1D3A0DCB"/>
    <w:rsid w:val="1D4F16A9"/>
    <w:rsid w:val="1D76A891"/>
    <w:rsid w:val="1DD63B2C"/>
    <w:rsid w:val="1EF1E136"/>
    <w:rsid w:val="1F397304"/>
    <w:rsid w:val="20BAEB51"/>
    <w:rsid w:val="20F0BE3D"/>
    <w:rsid w:val="21AC071D"/>
    <w:rsid w:val="22CDF3BF"/>
    <w:rsid w:val="23012A1C"/>
    <w:rsid w:val="2301CFD4"/>
    <w:rsid w:val="23605956"/>
    <w:rsid w:val="23C6AFF6"/>
    <w:rsid w:val="254951A6"/>
    <w:rsid w:val="257A066C"/>
    <w:rsid w:val="25CF78E0"/>
    <w:rsid w:val="25D40FE6"/>
    <w:rsid w:val="26770DCB"/>
    <w:rsid w:val="2692D607"/>
    <w:rsid w:val="26B23150"/>
    <w:rsid w:val="26BF846C"/>
    <w:rsid w:val="26FB6C19"/>
    <w:rsid w:val="281BCEF5"/>
    <w:rsid w:val="2865ABBB"/>
    <w:rsid w:val="28AFE8D5"/>
    <w:rsid w:val="28CD792C"/>
    <w:rsid w:val="28DD7986"/>
    <w:rsid w:val="28F7DCE8"/>
    <w:rsid w:val="294A5827"/>
    <w:rsid w:val="2A69F8BA"/>
    <w:rsid w:val="2AA18063"/>
    <w:rsid w:val="2B393A7A"/>
    <w:rsid w:val="2B4FE18A"/>
    <w:rsid w:val="2C1D980D"/>
    <w:rsid w:val="2C30376F"/>
    <w:rsid w:val="2C88B501"/>
    <w:rsid w:val="2CB83E30"/>
    <w:rsid w:val="2D30284F"/>
    <w:rsid w:val="2D5E68E8"/>
    <w:rsid w:val="2D83DFAE"/>
    <w:rsid w:val="2DA78D4F"/>
    <w:rsid w:val="2DB8D32A"/>
    <w:rsid w:val="2E217578"/>
    <w:rsid w:val="2F126994"/>
    <w:rsid w:val="2FBBACAD"/>
    <w:rsid w:val="3030909A"/>
    <w:rsid w:val="31C20115"/>
    <w:rsid w:val="323B377D"/>
    <w:rsid w:val="327B65A0"/>
    <w:rsid w:val="32E638B2"/>
    <w:rsid w:val="33117118"/>
    <w:rsid w:val="3339801E"/>
    <w:rsid w:val="3355066F"/>
    <w:rsid w:val="340CAD41"/>
    <w:rsid w:val="3416BC17"/>
    <w:rsid w:val="3417B1D0"/>
    <w:rsid w:val="3477CA2D"/>
    <w:rsid w:val="34840BDC"/>
    <w:rsid w:val="353380F2"/>
    <w:rsid w:val="35564AA0"/>
    <w:rsid w:val="3588B72E"/>
    <w:rsid w:val="361E5FC6"/>
    <w:rsid w:val="3666AE5D"/>
    <w:rsid w:val="36A3B0E4"/>
    <w:rsid w:val="36E6A199"/>
    <w:rsid w:val="37723C1A"/>
    <w:rsid w:val="378460B3"/>
    <w:rsid w:val="37B3EBDA"/>
    <w:rsid w:val="37BD7B67"/>
    <w:rsid w:val="390C9DE7"/>
    <w:rsid w:val="392BC9B9"/>
    <w:rsid w:val="39C900A6"/>
    <w:rsid w:val="39ECC0EA"/>
    <w:rsid w:val="3A0217C8"/>
    <w:rsid w:val="3A2EC21B"/>
    <w:rsid w:val="3A59ADF0"/>
    <w:rsid w:val="3A773DB6"/>
    <w:rsid w:val="3ADCCDE6"/>
    <w:rsid w:val="3AE2D9DA"/>
    <w:rsid w:val="3AF29B32"/>
    <w:rsid w:val="3B276381"/>
    <w:rsid w:val="3B9F9E15"/>
    <w:rsid w:val="3D2FE3AC"/>
    <w:rsid w:val="3D986DCD"/>
    <w:rsid w:val="3DB7B82E"/>
    <w:rsid w:val="3DB90D9C"/>
    <w:rsid w:val="3DC6B90B"/>
    <w:rsid w:val="3E433C7E"/>
    <w:rsid w:val="3E458314"/>
    <w:rsid w:val="3E498225"/>
    <w:rsid w:val="3EE10E29"/>
    <w:rsid w:val="3EEB4BC3"/>
    <w:rsid w:val="3F9F37F4"/>
    <w:rsid w:val="40050138"/>
    <w:rsid w:val="408FDB38"/>
    <w:rsid w:val="40ED73AD"/>
    <w:rsid w:val="4166BECA"/>
    <w:rsid w:val="41CCE636"/>
    <w:rsid w:val="42D535DF"/>
    <w:rsid w:val="430500BF"/>
    <w:rsid w:val="444C7B96"/>
    <w:rsid w:val="44548BC1"/>
    <w:rsid w:val="449AAB4F"/>
    <w:rsid w:val="44CC50F6"/>
    <w:rsid w:val="450DCFA1"/>
    <w:rsid w:val="456AB170"/>
    <w:rsid w:val="465BEC74"/>
    <w:rsid w:val="466AFD0B"/>
    <w:rsid w:val="4698D701"/>
    <w:rsid w:val="47BD31A5"/>
    <w:rsid w:val="4804ECD4"/>
    <w:rsid w:val="483BE2F7"/>
    <w:rsid w:val="48C2C953"/>
    <w:rsid w:val="48D741FF"/>
    <w:rsid w:val="495B4672"/>
    <w:rsid w:val="4A21E9DB"/>
    <w:rsid w:val="4A7E2907"/>
    <w:rsid w:val="4B308477"/>
    <w:rsid w:val="4B9EFB78"/>
    <w:rsid w:val="4C72E751"/>
    <w:rsid w:val="4CC9A01B"/>
    <w:rsid w:val="4CD29856"/>
    <w:rsid w:val="4D08AD99"/>
    <w:rsid w:val="4D65B1F1"/>
    <w:rsid w:val="4DE13453"/>
    <w:rsid w:val="4ECA52A7"/>
    <w:rsid w:val="4EED0982"/>
    <w:rsid w:val="4F59C50F"/>
    <w:rsid w:val="4F90C090"/>
    <w:rsid w:val="4F9AEF28"/>
    <w:rsid w:val="4FDEECE9"/>
    <w:rsid w:val="509DAD0A"/>
    <w:rsid w:val="513EBA23"/>
    <w:rsid w:val="5147F590"/>
    <w:rsid w:val="515815CD"/>
    <w:rsid w:val="51AAE40A"/>
    <w:rsid w:val="51E444F9"/>
    <w:rsid w:val="51F5F1BB"/>
    <w:rsid w:val="535273C3"/>
    <w:rsid w:val="549B2DBD"/>
    <w:rsid w:val="54C52435"/>
    <w:rsid w:val="54FC9C76"/>
    <w:rsid w:val="554411B2"/>
    <w:rsid w:val="55589278"/>
    <w:rsid w:val="55A51471"/>
    <w:rsid w:val="55FB8266"/>
    <w:rsid w:val="5642364C"/>
    <w:rsid w:val="5698C274"/>
    <w:rsid w:val="570C7C99"/>
    <w:rsid w:val="577FB66B"/>
    <w:rsid w:val="579E60C1"/>
    <w:rsid w:val="57AE654C"/>
    <w:rsid w:val="57D47904"/>
    <w:rsid w:val="57D5206B"/>
    <w:rsid w:val="58CD0C94"/>
    <w:rsid w:val="58D4F4A1"/>
    <w:rsid w:val="595F7147"/>
    <w:rsid w:val="59F437A7"/>
    <w:rsid w:val="5A37637D"/>
    <w:rsid w:val="5A723F31"/>
    <w:rsid w:val="5A85C90B"/>
    <w:rsid w:val="5A90F5CD"/>
    <w:rsid w:val="5AB13A1A"/>
    <w:rsid w:val="5B43BE2B"/>
    <w:rsid w:val="5BA2B8EB"/>
    <w:rsid w:val="5C06ECED"/>
    <w:rsid w:val="5CA419CF"/>
    <w:rsid w:val="5CDEB676"/>
    <w:rsid w:val="5D0A7478"/>
    <w:rsid w:val="5D303B6A"/>
    <w:rsid w:val="5D3EDF9E"/>
    <w:rsid w:val="5D665B8C"/>
    <w:rsid w:val="5D76DD63"/>
    <w:rsid w:val="5F262DAE"/>
    <w:rsid w:val="5F62B511"/>
    <w:rsid w:val="5F647799"/>
    <w:rsid w:val="5F6BD348"/>
    <w:rsid w:val="5FA3F10D"/>
    <w:rsid w:val="5FCA9A9C"/>
    <w:rsid w:val="60B97883"/>
    <w:rsid w:val="60D5ACEC"/>
    <w:rsid w:val="61877EF8"/>
    <w:rsid w:val="63375054"/>
    <w:rsid w:val="635FF217"/>
    <w:rsid w:val="6379DCD1"/>
    <w:rsid w:val="64B0006A"/>
    <w:rsid w:val="64E2356F"/>
    <w:rsid w:val="64F82836"/>
    <w:rsid w:val="6508DCBB"/>
    <w:rsid w:val="6515CF49"/>
    <w:rsid w:val="654A0EBD"/>
    <w:rsid w:val="6562F5C4"/>
    <w:rsid w:val="6570CE6B"/>
    <w:rsid w:val="65B5E316"/>
    <w:rsid w:val="65F34B29"/>
    <w:rsid w:val="66AAA8D9"/>
    <w:rsid w:val="677CBF39"/>
    <w:rsid w:val="67FAB3F6"/>
    <w:rsid w:val="687CD0B1"/>
    <w:rsid w:val="69D13C61"/>
    <w:rsid w:val="6B01F1AB"/>
    <w:rsid w:val="6B23831D"/>
    <w:rsid w:val="6C093FBB"/>
    <w:rsid w:val="6C0F24B2"/>
    <w:rsid w:val="6C143DBF"/>
    <w:rsid w:val="6CE0E1DA"/>
    <w:rsid w:val="6CF0A834"/>
    <w:rsid w:val="6D1459D2"/>
    <w:rsid w:val="6DA03998"/>
    <w:rsid w:val="6DC7589D"/>
    <w:rsid w:val="6DDC98FA"/>
    <w:rsid w:val="6DEADEE7"/>
    <w:rsid w:val="6E4B6AA7"/>
    <w:rsid w:val="6E889662"/>
    <w:rsid w:val="6EA4593F"/>
    <w:rsid w:val="6EF7ED6F"/>
    <w:rsid w:val="6F4D0F5F"/>
    <w:rsid w:val="6F57BC01"/>
    <w:rsid w:val="6FECDD16"/>
    <w:rsid w:val="70CEDD84"/>
    <w:rsid w:val="70D6BCE6"/>
    <w:rsid w:val="70F28C7E"/>
    <w:rsid w:val="72C21904"/>
    <w:rsid w:val="735D01D1"/>
    <w:rsid w:val="73A308EB"/>
    <w:rsid w:val="73F35E18"/>
    <w:rsid w:val="741ED8F4"/>
    <w:rsid w:val="74B85C33"/>
    <w:rsid w:val="756BDBF5"/>
    <w:rsid w:val="761ABF54"/>
    <w:rsid w:val="76580622"/>
    <w:rsid w:val="76627603"/>
    <w:rsid w:val="76BE2EAD"/>
    <w:rsid w:val="7738A216"/>
    <w:rsid w:val="77A0ACBA"/>
    <w:rsid w:val="77CEA4CF"/>
    <w:rsid w:val="78D30FF7"/>
    <w:rsid w:val="794A96B3"/>
    <w:rsid w:val="7953F54E"/>
    <w:rsid w:val="79FFC15C"/>
    <w:rsid w:val="7ACCBE88"/>
    <w:rsid w:val="7B066BB2"/>
    <w:rsid w:val="7C2F754A"/>
    <w:rsid w:val="7C8716DB"/>
    <w:rsid w:val="7DB4E55D"/>
    <w:rsid w:val="7DECBB32"/>
    <w:rsid w:val="7DFBA142"/>
    <w:rsid w:val="7E4D4EE2"/>
    <w:rsid w:val="7E66707B"/>
    <w:rsid w:val="7ECA75C8"/>
    <w:rsid w:val="7EE187F6"/>
    <w:rsid w:val="7EE4C857"/>
    <w:rsid w:val="7EE7BF81"/>
    <w:rsid w:val="7EF1AB2C"/>
    <w:rsid w:val="7FE7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CE0AB"/>
  <w15:chartTrackingRefBased/>
  <w15:docId w15:val="{F1519B02-C59E-4365-80F3-266E797F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2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3561F"/>
    <w:rPr>
      <w:sz w:val="20"/>
      <w:szCs w:val="20"/>
    </w:rPr>
  </w:style>
  <w:style w:type="character" w:customStyle="1" w:styleId="TekstdymkaZnak1">
    <w:name w:val="Tekst dymka Znak1"/>
    <w:basedOn w:val="Domylnaczcionkaakapitu"/>
    <w:semiHidden/>
    <w:rsid w:val="00B3661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4D2C"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53561F"/>
  </w:style>
  <w:style w:type="character" w:styleId="Odwoanieprzypisukocowego">
    <w:name w:val="endnote reference"/>
    <w:basedOn w:val="Domylnaczcionkaakapitu"/>
    <w:rsid w:val="0053561F"/>
    <w:rPr>
      <w:vertAlign w:val="superscript"/>
    </w:rPr>
  </w:style>
  <w:style w:type="paragraph" w:styleId="Nagwek">
    <w:name w:val="header"/>
    <w:basedOn w:val="Normalny"/>
    <w:link w:val="NagwekZnak"/>
    <w:rsid w:val="000E16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63B"/>
    <w:rPr>
      <w:sz w:val="24"/>
      <w:szCs w:val="24"/>
    </w:rPr>
  </w:style>
  <w:style w:type="paragraph" w:styleId="Stopka">
    <w:name w:val="footer"/>
    <w:basedOn w:val="Normalny"/>
    <w:link w:val="StopkaZnak"/>
    <w:rsid w:val="000E16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E16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4515-5C6A-4A92-BBE1-41EC207D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Suchenek Katarzyna</dc:creator>
  <cp:keywords/>
  <cp:lastModifiedBy>Suchenek Katarzyna</cp:lastModifiedBy>
  <cp:revision>2</cp:revision>
  <dcterms:created xsi:type="dcterms:W3CDTF">2026-08-12T10:54:00Z</dcterms:created>
  <dcterms:modified xsi:type="dcterms:W3CDTF">2026-08-12T10:54:00Z</dcterms:modified>
</cp:coreProperties>
</file>